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ind w:left="567" w:right="567"/>
        <w:jc w:val="right"/>
        <w:spacing w:line="259" w:lineRule="auto"/>
        <w:rPr>
          <w:rFonts w:ascii="Arial" w:hAnsi="Arial" w:cs="Arial"/>
          <w:b/>
          <w:bCs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-981710</wp:posOffset>
                </wp:positionH>
                <wp:positionV relativeFrom="paragraph">
                  <wp:posOffset>113422</wp:posOffset>
                </wp:positionV>
                <wp:extent cx="1283993" cy="370448"/>
                <wp:effectExtent l="0" t="0" r="0" b="0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283993" cy="370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-77.30pt;mso-position-horizontal:absolute;mso-position-vertical-relative:text;margin-top:8.93pt;mso-position-vertical:absolute;width:101.10pt;height:29.17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</w:rPr>
        <w:t xml:space="preserve">ДАГЕСТАН</w:t>
      </w:r>
      <w:r>
        <w:rPr>
          <w:rFonts w:ascii="Arial" w:hAnsi="Arial" w:cs="Arial"/>
          <w:b/>
          <w:bCs/>
          <w:sz w:val="32"/>
          <w:szCs w:val="32"/>
        </w:rPr>
        <w:t xml:space="preserve">СТАТ</w:t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</w:r>
    </w:p>
    <w:p>
      <w:pPr>
        <w:spacing w:line="312" w:lineRule="auto"/>
        <w:rPr>
          <w:rStyle w:val="716"/>
          <w:rFonts w:ascii="Arial" w:hAnsi="Arial" w:cs="Arial"/>
          <w:color w:val="363194"/>
          <w:sz w:val="32"/>
          <w:szCs w:val="32"/>
        </w:rPr>
      </w:pPr>
      <w:r>
        <w:rPr>
          <w:rFonts w:ascii="Arial" w:hAnsi="Arial" w:cs="Arial"/>
          <w:color w:val="363194"/>
          <w:sz w:val="32"/>
          <w:szCs w:val="32"/>
        </w:rPr>
      </w:r>
      <w:r>
        <w:rPr>
          <w:rStyle w:val="716"/>
          <w:rFonts w:ascii="Arial" w:hAnsi="Arial" w:cs="Arial"/>
          <w:color w:val="363194"/>
          <w:sz w:val="32"/>
          <w:szCs w:val="32"/>
        </w:rPr>
      </w:r>
    </w:p>
    <w:p>
      <w:pPr>
        <w:spacing w:line="312" w:lineRule="auto"/>
        <w:rPr>
          <w:rStyle w:val="717"/>
          <w:rFonts w:ascii="Arial Rounded MT Bold" w:hAnsi="Arial Rounded MT Bold"/>
          <w:b/>
          <w:color w:val="363194"/>
          <w:sz w:val="32"/>
          <w:szCs w:val="32"/>
          <w:vertAlign w:val="superscript"/>
        </w:rPr>
      </w:pP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ОБ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ИНДЕКСЕ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ПОТРЕБИТЕЛЬСКИХ</w:t>
      </w:r>
      <w:r>
        <w:rPr>
          <w:rFonts w:ascii="Arial Rounded MT Bold" w:hAnsi="Arial Rounded MT Bold"/>
          <w:b/>
          <w:color w:val="363194"/>
          <w:sz w:val="32"/>
          <w:szCs w:val="32"/>
        </w:rPr>
        <w:br/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ЦЕН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В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ДЕКА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БР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Е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2024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ГОДА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  <w:vertAlign w:val="superscript"/>
        </w:rPr>
        <w:t xml:space="preserve">1</w:t>
      </w:r>
      <w:r>
        <w:rPr>
          <w:rStyle w:val="717"/>
          <w:rFonts w:ascii="Arial Rounded MT Bold" w:hAnsi="Arial Rounded MT Bold"/>
          <w:b/>
          <w:color w:val="363194"/>
          <w:sz w:val="32"/>
          <w:szCs w:val="32"/>
          <w:vertAlign w:val="superscript"/>
        </w:rPr>
      </w:r>
    </w:p>
    <w:p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 xml:space="preserve">дека</w:t>
      </w:r>
      <w:r>
        <w:rPr>
          <w:rFonts w:ascii="Arial" w:hAnsi="Arial" w:cs="Arial"/>
          <w:color w:val="282a2e"/>
        </w:rPr>
        <w:t xml:space="preserve">бр</w:t>
      </w:r>
      <w:r>
        <w:rPr>
          <w:rFonts w:ascii="Arial" w:hAnsi="Arial" w:cs="Arial"/>
          <w:color w:val="282a2e"/>
        </w:rPr>
        <w:t xml:space="preserve">е</w:t>
      </w:r>
      <w:r>
        <w:rPr>
          <w:rFonts w:ascii="Arial" w:hAnsi="Arial" w:cs="Arial"/>
          <w:color w:val="282a2e"/>
        </w:rPr>
        <w:t xml:space="preserve"> индекс пот</w:t>
      </w:r>
      <w:r>
        <w:rPr>
          <w:rFonts w:ascii="Arial" w:hAnsi="Arial" w:cs="Arial"/>
          <w:color w:val="282a2e"/>
        </w:rPr>
        <w:t xml:space="preserve">ребительских цен составил 10</w:t>
      </w:r>
      <w:r>
        <w:rPr>
          <w:rFonts w:ascii="Arial" w:hAnsi="Arial" w:cs="Arial"/>
          <w:color w:val="282a2e"/>
        </w:rPr>
        <w:t xml:space="preserve">1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9</w:t>
      </w:r>
      <w:r>
        <w:rPr>
          <w:rFonts w:ascii="Arial" w:hAnsi="Arial" w:cs="Arial"/>
          <w:color w:val="282a2e"/>
        </w:rPr>
        <w:t xml:space="preserve">0</w:t>
      </w:r>
      <w:r>
        <w:rPr>
          <w:rFonts w:ascii="Arial" w:hAnsi="Arial" w:cs="Arial"/>
          <w:color w:val="282a2e"/>
        </w:rPr>
        <w:t xml:space="preserve">%</w:t>
      </w:r>
      <w:r>
        <w:rPr>
          <w:rFonts w:ascii="Arial" w:hAnsi="Arial" w:cs="Arial"/>
          <w:color w:val="282a2e"/>
        </w:rPr>
        <w:t xml:space="preserve">, за период с начала года – 1</w:t>
      </w:r>
      <w:r>
        <w:rPr>
          <w:rFonts w:ascii="Arial" w:hAnsi="Arial" w:cs="Arial"/>
          <w:color w:val="282a2e"/>
        </w:rPr>
        <w:t xml:space="preserve">11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03</w:t>
      </w:r>
      <w:r>
        <w:rPr>
          <w:rFonts w:ascii="Arial" w:hAnsi="Arial" w:cs="Arial"/>
          <w:color w:val="282a2e"/>
        </w:rPr>
        <w:t xml:space="preserve">%</w:t>
      </w:r>
      <w:r>
        <w:rPr>
          <w:rFonts w:ascii="Arial" w:hAnsi="Arial" w:cs="Arial"/>
          <w:color w:val="282a2e"/>
        </w:rPr>
        <w:t xml:space="preserve"> (в </w:t>
      </w:r>
      <w:r>
        <w:rPr>
          <w:rFonts w:ascii="Arial" w:hAnsi="Arial" w:cs="Arial"/>
          <w:color w:val="282a2e"/>
        </w:rPr>
        <w:t xml:space="preserve">дека</w:t>
      </w:r>
      <w:r>
        <w:rPr>
          <w:rFonts w:ascii="Arial" w:hAnsi="Arial" w:cs="Arial"/>
          <w:color w:val="282a2e"/>
        </w:rPr>
        <w:t xml:space="preserve">бр</w:t>
      </w:r>
      <w:r>
        <w:rPr>
          <w:rFonts w:ascii="Arial" w:hAnsi="Arial" w:cs="Arial"/>
          <w:color w:val="282a2e"/>
        </w:rPr>
        <w:t xml:space="preserve">е 202</w:t>
      </w:r>
      <w:r>
        <w:rPr>
          <w:rFonts w:ascii="Arial" w:hAnsi="Arial" w:cs="Arial"/>
          <w:color w:val="282a2e"/>
        </w:rPr>
        <w:t xml:space="preserve">3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г. – 10</w:t>
      </w:r>
      <w:r>
        <w:rPr>
          <w:rFonts w:ascii="Arial" w:hAnsi="Arial" w:cs="Arial"/>
          <w:color w:val="282a2e"/>
        </w:rPr>
        <w:t xml:space="preserve">1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32</w:t>
      </w:r>
      <w:r>
        <w:rPr>
          <w:rFonts w:ascii="Arial" w:hAnsi="Arial" w:cs="Arial"/>
          <w:color w:val="282a2e"/>
        </w:rPr>
        <w:t xml:space="preserve">%</w:t>
      </w:r>
      <w:r>
        <w:rPr>
          <w:rFonts w:ascii="Arial" w:hAnsi="Arial" w:cs="Arial"/>
          <w:color w:val="282a2e"/>
        </w:rPr>
        <w:t xml:space="preserve">, за период с начала года – 10</w:t>
      </w:r>
      <w:r>
        <w:rPr>
          <w:rFonts w:ascii="Arial" w:hAnsi="Arial" w:cs="Arial"/>
          <w:color w:val="282a2e"/>
        </w:rPr>
        <w:t xml:space="preserve">9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69</w:t>
      </w:r>
      <w:r>
        <w:rPr>
          <w:rFonts w:ascii="Arial" w:hAnsi="Arial" w:cs="Arial"/>
          <w:color w:val="282a2e"/>
        </w:rPr>
        <w:t xml:space="preserve">%</w:t>
      </w:r>
      <w:r>
        <w:rPr>
          <w:rFonts w:ascii="Arial" w:hAnsi="Arial" w:cs="Arial"/>
          <w:color w:val="282a2e"/>
        </w:rPr>
        <w:t xml:space="preserve">).</w:t>
      </w:r>
      <w:r>
        <w:rPr>
          <w:rFonts w:ascii="Arial" w:hAnsi="Arial" w:cs="Arial"/>
          <w:color w:val="282a2e"/>
        </w:rPr>
      </w:r>
    </w:p>
    <w:p>
      <w:pPr>
        <w:pStyle w:val="718"/>
        <w:spacing w:before="0" w:beforeAutospacing="0" w:after="0" w:afterAutospacing="0" w:line="230" w:lineRule="atLeast"/>
        <w:rPr>
          <w:color w:val="363194"/>
          <w:sz w:val="22"/>
          <w:szCs w:val="22"/>
        </w:rPr>
      </w:pPr>
      <w:r>
        <w:rPr>
          <w:rStyle w:val="719"/>
          <w:rFonts w:ascii="Arial" w:hAnsi="Arial" w:cs="Arial"/>
          <w:b/>
          <w:bCs/>
          <w:color w:val="363194"/>
          <w:sz w:val="22"/>
          <w:szCs w:val="22"/>
        </w:rPr>
        <w:t xml:space="preserve">Индексы потребительских цен</w:t>
      </w:r>
      <w:r>
        <w:rPr>
          <w:color w:val="363194"/>
          <w:sz w:val="22"/>
          <w:szCs w:val="22"/>
        </w:rPr>
      </w:r>
    </w:p>
    <w:p>
      <w:pPr>
        <w:pStyle w:val="733"/>
        <w:ind w:right="58"/>
        <w:jc w:val="right"/>
        <w:spacing w:before="0" w:beforeAutospacing="0" w:after="0" w:afterAutospacing="0" w:line="200" w:lineRule="atLeast"/>
        <w:rPr>
          <w:rFonts w:ascii="Times New Roman CYR" w:hAnsi="Times New Roman CYR" w:cs="Times New Roman CYR"/>
        </w:rPr>
      </w:pPr>
      <w:r>
        <w:rPr>
          <w:rStyle w:val="734"/>
          <w:rFonts w:ascii="Arial" w:hAnsi="Arial" w:cs="Arial"/>
          <w:color w:val="282a2e"/>
          <w:sz w:val="20"/>
          <w:szCs w:val="20"/>
        </w:rPr>
        <w:t xml:space="preserve">в процентах</w:t>
      </w:r>
      <w:r>
        <w:rPr>
          <w:rFonts w:ascii="Times New Roman CYR" w:hAnsi="Times New Roman CYR" w:cs="Times New Roman CYR"/>
        </w:rPr>
      </w:r>
    </w:p>
    <w:p>
      <w:pPr>
        <w:jc w:val="right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</w:r>
      <w:r>
        <w:rPr>
          <w:rFonts w:ascii="Arial" w:hAnsi="Arial" w:cs="Arial"/>
          <w:sz w:val="4"/>
          <w:szCs w:val="4"/>
        </w:rPr>
      </w:r>
    </w:p>
    <w:tbl>
      <w:tblPr>
        <w:tblW w:w="50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134"/>
        <w:gridCol w:w="1134"/>
        <w:gridCol w:w="1132"/>
        <w:gridCol w:w="1137"/>
        <w:gridCol w:w="1134"/>
        <w:gridCol w:w="1137"/>
        <w:gridCol w:w="1120"/>
      </w:tblGrid>
      <w:tr>
        <w:trPr>
          <w:jc w:val="center"/>
          <w:trHeight w:val="80"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2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109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tcW w:w="1649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Справочно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Merge w:val="restart"/>
            <w:textDirection w:val="lrTb"/>
            <w:noWrap w:val="false"/>
          </w:tcPr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Росси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Федерация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декабрю 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207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9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gridSpan w:val="2"/>
            <w:shd w:val="clear" w:color="auto" w:fill="ebebeb"/>
            <w:tcBorders>
              <w:top w:val="single" w:color="BFBFBF" w:themeColor="background1" w:themeShade="BF" w:sz="8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8" w:space="0"/>
              <w:left w:val="single" w:color="BFBFBF" w:themeColor="background1" w:themeShade="BF" w:sz="4" w:space="0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tcW w:w="550" w:type="pct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ноябрю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2024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tcW w:w="55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438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Align w:val="bottom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Индекс </w:t>
            </w:r>
            <w:r>
              <w:rPr>
                <w:rFonts w:ascii="Arial" w:hAnsi="Arial" w:cs="Arial"/>
                <w:sz w:val="18"/>
                <w:szCs w:val="18"/>
              </w:rPr>
              <w:t xml:space="preserve">потребительских</w:t>
            </w:r>
            <w:r>
              <w:rPr>
                <w:rFonts w:ascii="Arial" w:hAnsi="Arial" w:cs="Arial"/>
                <w:sz w:val="18"/>
                <w:szCs w:val="18"/>
              </w:rPr>
              <w:t xml:space="preserve"> цен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101,90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109,69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8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  <w:r>
              <w:rPr>
                <w:rFonts w:ascii="Arial" w:hAnsi="Arial" w:cs="Arial"/>
                <w:sz w:val="18"/>
                <w:szCs w:val="18"/>
              </w:rPr>
              <w:t xml:space="preserve">на</w:t>
            </w:r>
            <w:r>
              <w:rPr>
                <w:rFonts w:ascii="Arial" w:hAnsi="Arial" w:cs="Arial"/>
                <w:sz w:val="18"/>
                <w:szCs w:val="18"/>
              </w:rPr>
              <w:t xml:space="preserve">: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87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товары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102,26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111,60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111,84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110,41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продовольственные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товары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102,94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114,39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114,48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Align w:val="bottom"/>
            <w:textDirection w:val="lrTb"/>
            <w:noWrap w:val="false"/>
          </w:tcPr>
          <w:p>
            <w:pPr>
              <w:ind w:left="2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продовольственные товары без плод</w:t>
            </w:r>
            <w:r>
              <w:rPr>
                <w:rFonts w:ascii="Arial" w:hAnsi="Arial" w:cs="Arial"/>
                <w:sz w:val="18"/>
                <w:szCs w:val="18"/>
              </w:rPr>
              <w:t xml:space="preserve">о</w:t>
            </w:r>
            <w:r>
              <w:rPr>
                <w:rFonts w:ascii="Arial" w:hAnsi="Arial" w:cs="Arial"/>
                <w:sz w:val="18"/>
                <w:szCs w:val="18"/>
              </w:rPr>
              <w:t xml:space="preserve">овощной продукции 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101,42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113,17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114,31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106,03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Align w:val="bottom"/>
            <w:textDirection w:val="lrTb"/>
            <w:noWrap w:val="false"/>
          </w:tcPr>
          <w:p>
            <w:pPr>
              <w:ind w:left="2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плодоовощная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2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продукция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109,25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119,24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115,13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107,49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115,36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122,09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97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непродовольственные т</w:t>
            </w:r>
            <w:r>
              <w:rPr>
                <w:rFonts w:ascii="Arial" w:hAnsi="Arial" w:cs="Arial"/>
                <w:sz w:val="18"/>
                <w:szCs w:val="18"/>
              </w:rPr>
              <w:t xml:space="preserve">о</w:t>
            </w:r>
            <w:r>
              <w:rPr>
                <w:rFonts w:ascii="Arial" w:hAnsi="Arial" w:cs="Arial"/>
                <w:sz w:val="18"/>
                <w:szCs w:val="18"/>
              </w:rPr>
              <w:t xml:space="preserve">вары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100,50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104,92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105,71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99,34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106,97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106,12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услуги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99,99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106,96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99,95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109,04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3" w:type="pct"/>
            <w:vAlign w:val="bottom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Базовый индекс </w:t>
            </w:r>
            <w:r>
              <w:rPr>
                <w:rFonts w:ascii="Arial" w:hAnsi="Arial" w:cs="Arial"/>
                <w:sz w:val="18"/>
                <w:szCs w:val="18"/>
              </w:rPr>
              <w:t xml:space="preserve">потреб</w:t>
            </w:r>
            <w:r>
              <w:rPr>
                <w:rFonts w:ascii="Arial" w:hAnsi="Arial" w:cs="Arial"/>
                <w:sz w:val="18"/>
                <w:szCs w:val="18"/>
              </w:rPr>
              <w:t xml:space="preserve">и</w:t>
            </w:r>
            <w:r>
              <w:rPr>
                <w:rFonts w:ascii="Arial" w:hAnsi="Arial" w:cs="Arial"/>
                <w:sz w:val="18"/>
                <w:szCs w:val="18"/>
              </w:rPr>
              <w:t xml:space="preserve">тельских</w:t>
            </w:r>
            <w:r>
              <w:rPr>
                <w:rFonts w:ascii="Arial" w:hAnsi="Arial" w:cs="Arial"/>
                <w:sz w:val="18"/>
                <w:szCs w:val="18"/>
              </w:rPr>
              <w:t xml:space="preserve"> цен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101,01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100,67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105,85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4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108,93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pStyle w:val="735"/>
              <w:ind w:right="454"/>
              <w:spacing w:before="0" w:beforeAutospacing="0" w:after="0" w:afterAutospacing="0" w:line="233" w:lineRule="auto"/>
              <w:rPr>
                <w:rStyle w:val="736"/>
                <w:rFonts w:ascii="Arial" w:hAnsi="Arial" w:cs="Arial"/>
                <w:color w:val="838383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</w:r>
            <w:r>
              <w:rPr>
                <w:rStyle w:val="736"/>
                <w:rFonts w:ascii="Arial" w:hAnsi="Arial" w:cs="Arial"/>
                <w:color w:val="838383"/>
                <w:sz w:val="16"/>
                <w:szCs w:val="16"/>
                <w:vertAlign w:val="superscript"/>
              </w:rPr>
            </w:r>
          </w:p>
          <w:p>
            <w:pPr>
              <w:pStyle w:val="735"/>
              <w:ind w:right="454"/>
              <w:spacing w:before="0" w:beforeAutospacing="0" w:after="0" w:afterAutospacing="0" w:line="233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736"/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*</w:t>
            </w:r>
            <w:r>
              <w:rPr>
                <w:rStyle w:val="737"/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 </w:t>
            </w:r>
            <w:r>
              <w:rPr>
                <w:rStyle w:val="738"/>
                <w:rFonts w:ascii="Arial" w:hAnsi="Arial" w:cs="Arial"/>
                <w:color w:val="838383"/>
                <w:sz w:val="16"/>
                <w:szCs w:val="16"/>
              </w:rPr>
              <w:t xml:space="preserve">Включая алкогольные напитки.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pPr>
        <w:pStyle w:val="720"/>
        <w:spacing w:before="0" w:beforeAutospacing="0" w:after="0" w:afterAutospacing="0"/>
        <w:rPr>
          <w:rStyle w:val="721"/>
          <w:rFonts w:ascii="Arial" w:hAnsi="Arial" w:cs="Arial"/>
          <w:b/>
          <w:bCs/>
          <w:color w:val="363194"/>
          <w:sz w:val="18"/>
          <w:szCs w:val="18"/>
        </w:rPr>
      </w:pPr>
      <w:r>
        <w:rPr>
          <w:rFonts w:ascii="Arial" w:hAnsi="Arial" w:cs="Arial"/>
          <w:b/>
          <w:bCs/>
          <w:color w:val="363194"/>
          <w:sz w:val="18"/>
          <w:szCs w:val="18"/>
        </w:rPr>
      </w:r>
      <w:r>
        <w:rPr>
          <w:rStyle w:val="721"/>
          <w:rFonts w:ascii="Arial" w:hAnsi="Arial" w:cs="Arial"/>
          <w:b/>
          <w:bCs/>
          <w:color w:val="363194"/>
          <w:sz w:val="18"/>
          <w:szCs w:val="18"/>
        </w:rPr>
      </w:r>
    </w:p>
    <w:p>
      <w:pPr>
        <w:pStyle w:val="720"/>
        <w:spacing w:before="0" w:beforeAutospacing="0" w:after="0" w:afterAutospacing="0"/>
        <w:rPr>
          <w:rStyle w:val="721"/>
          <w:rFonts w:ascii="Arial" w:hAnsi="Arial" w:cs="Arial"/>
          <w:b/>
          <w:bCs/>
          <w:color w:val="363194"/>
          <w:sz w:val="22"/>
          <w:szCs w:val="22"/>
        </w:rPr>
      </w:pP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  <w:t xml:space="preserve">Индекс потребительских цен на конец месяца</w:t>
      </w: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</w:r>
    </w:p>
    <w:p>
      <w:pPr>
        <w:pStyle w:val="722"/>
        <w:spacing w:before="0" w:beforeAutospacing="0" w:after="0" w:afterAutospacing="0"/>
        <w:rPr>
          <w:rStyle w:val="723"/>
          <w:rFonts w:ascii="Arial" w:hAnsi="Arial" w:cs="Arial"/>
          <w:color w:val="363194"/>
          <w:sz w:val="18"/>
          <w:szCs w:val="18"/>
        </w:rPr>
      </w:pPr>
      <w:r>
        <w:rPr>
          <w:rStyle w:val="723"/>
          <w:rFonts w:ascii="Arial" w:hAnsi="Arial" w:cs="Arial"/>
          <w:color w:val="363194"/>
          <w:sz w:val="18"/>
          <w:szCs w:val="18"/>
        </w:rPr>
        <w:t xml:space="preserve">в </w:t>
      </w:r>
      <w:r>
        <w:rPr>
          <w:rStyle w:val="723"/>
          <w:rFonts w:ascii="Arial" w:hAnsi="Arial" w:cs="Arial"/>
          <w:color w:val="363194"/>
          <w:sz w:val="18"/>
          <w:szCs w:val="18"/>
        </w:rPr>
        <w:t xml:space="preserve">процентах</w:t>
      </w:r>
      <w:r>
        <w:rPr>
          <w:rStyle w:val="723"/>
          <w:rFonts w:ascii="Arial" w:hAnsi="Arial" w:cs="Arial"/>
          <w:color w:val="363194"/>
          <w:sz w:val="18"/>
          <w:szCs w:val="18"/>
        </w:rPr>
        <w:t xml:space="preserve"> к предыдущему месяцу</w:t>
      </w:r>
      <w:r>
        <w:rPr>
          <w:rStyle w:val="723"/>
          <w:rFonts w:ascii="Arial" w:hAnsi="Arial" w:cs="Arial"/>
          <w:color w:val="363194"/>
          <w:sz w:val="18"/>
          <w:szCs w:val="18"/>
        </w:rPr>
      </w:r>
    </w:p>
    <w:p>
      <w:pPr>
        <w:pStyle w:val="722"/>
        <w:spacing w:before="0" w:beforeAutospacing="0" w:after="0" w:afterAutospacing="0"/>
        <w:rPr>
          <w:rStyle w:val="723"/>
          <w:rFonts w:ascii="Arial" w:hAnsi="Arial" w:cs="Arial"/>
          <w:color w:val="363194"/>
          <w:sz w:val="18"/>
          <w:szCs w:val="18"/>
        </w:rPr>
      </w:pPr>
      <w:r>
        <w:rPr>
          <w:rFonts w:ascii="Arial" w:hAnsi="Arial" w:cs="Arial"/>
          <w:color w:val="363194"/>
          <w:sz w:val="18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24450" cy="3008643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5124449" cy="30086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3.50pt;height:236.9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Style w:val="723"/>
          <w:rFonts w:ascii="Arial" w:hAnsi="Arial" w:cs="Arial"/>
          <w:color w:val="363194"/>
          <w:sz w:val="18"/>
          <w:szCs w:val="18"/>
        </w:rPr>
      </w:r>
    </w:p>
    <w:p>
      <w:pPr>
        <w:pStyle w:val="722"/>
        <w:spacing w:before="0" w:beforeAutospacing="0" w:after="0" w:afterAutospacing="0"/>
        <w:rPr>
          <w:rStyle w:val="721"/>
          <w:rFonts w:ascii="Arial" w:hAnsi="Arial" w:cs="Arial"/>
          <w:b/>
          <w:bCs/>
          <w:color w:val="363194"/>
          <w:sz w:val="22"/>
          <w:szCs w:val="22"/>
        </w:rPr>
      </w:pPr>
      <w:r>
        <w:rPr>
          <w:rFonts w:ascii="Arial" w:hAnsi="Arial" w:cs="Arial"/>
          <w:color w:val="363194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1960880</wp:posOffset>
                </wp:positionV>
                <wp:extent cx="635" cy="361950"/>
                <wp:effectExtent l="0" t="0" r="37465" b="19050"/>
                <wp:wrapNone/>
                <wp:docPr id="3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32" type="#_x0000_t32" style="position:absolute;z-index:251661312;o:allowoverlap:true;o:allowincell:true;mso-position-horizontal-relative:text;margin-left:227.20pt;mso-position-horizontal:absolute;mso-position-vertical-relative:text;margin-top:154.40pt;mso-position-vertical:absolute;width:0.05pt;height:28.50pt;mso-wrap-distance-left:9.00pt;mso-wrap-distance-top:0.00pt;mso-wrap-distance-right:9.00pt;mso-wrap-distance-bottom:0.00pt;visibility:visible;" filled="f" strokecolor="#BFBFBF" strokeweight="1.00pt"/>
            </w:pict>
          </mc:Fallback>
        </mc:AlternateContent>
      </w:r>
      <w:bookmarkStart w:id="0" w:name="_GoBack"/>
      <w:r/>
      <w:bookmarkEnd w:id="0"/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  <w:t xml:space="preserve">Индексы цен на отдельные группы и виды продовольственных товаров</w:t>
      </w: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Style w:val="734"/>
          <w:rFonts w:ascii="Arial" w:hAnsi="Arial" w:cs="Arial"/>
          <w:color w:val="282a2e"/>
          <w:sz w:val="20"/>
          <w:szCs w:val="20"/>
        </w:rPr>
      </w:pPr>
      <w:r>
        <w:rPr>
          <w:rStyle w:val="734"/>
          <w:rFonts w:ascii="Arial" w:hAnsi="Arial" w:cs="Arial"/>
          <w:color w:val="282a2e"/>
          <w:sz w:val="20"/>
          <w:szCs w:val="20"/>
        </w:rPr>
        <w:t xml:space="preserve">в процентах</w:t>
      </w:r>
      <w:r>
        <w:rPr>
          <w:rStyle w:val="734"/>
          <w:rFonts w:ascii="Arial" w:hAnsi="Arial" w:cs="Arial"/>
          <w:color w:val="282a2e"/>
          <w:sz w:val="20"/>
          <w:szCs w:val="20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Fonts w:ascii="Times New Roman CYR" w:hAnsi="Times New Roman CYR" w:cs="Times New Roman CYR"/>
          <w:sz w:val="4"/>
          <w:szCs w:val="4"/>
        </w:rPr>
      </w:pPr>
      <w:r>
        <w:rPr>
          <w:rFonts w:ascii="Times New Roman CYR" w:hAnsi="Times New Roman CYR" w:cs="Times New Roman CYR"/>
          <w:sz w:val="4"/>
          <w:szCs w:val="4"/>
        </w:rPr>
      </w:r>
      <w:r>
        <w:rPr>
          <w:rFonts w:ascii="Times New Roman CYR" w:hAnsi="Times New Roman CYR" w:cs="Times New Roman CYR"/>
          <w:sz w:val="4"/>
          <w:szCs w:val="4"/>
        </w:rPr>
      </w:r>
    </w:p>
    <w:tbl>
      <w:tblPr>
        <w:tblW w:w="494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1247"/>
        <w:gridCol w:w="1249"/>
        <w:gridCol w:w="1276"/>
        <w:gridCol w:w="1204"/>
        <w:gridCol w:w="1206"/>
        <w:gridCol w:w="1328"/>
      </w:tblGrid>
      <w:tr>
        <w:trPr>
          <w:jc w:val="center"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Продовольственные товары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2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1227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Merge w:val="restart"/>
            <w:textDirection w:val="lrTb"/>
            <w:noWrap w:val="false"/>
          </w:tcPr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2024 г.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брю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2023 г.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37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Справочно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: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jc w:val="center"/>
          <w:trHeight w:val="207"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2"/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27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85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Merge w:val="restart"/>
            <w:textDirection w:val="lrTb"/>
            <w:noWrap w:val="false"/>
          </w:tcPr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2023 г.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брю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2022 г.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</w:p>
        </w:tc>
      </w:tr>
      <w:tr>
        <w:trPr>
          <w:jc w:val="center"/>
          <w:trHeight w:val="418"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continue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ноябрю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 2024 г.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 2022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Продукты питания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102,97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114,55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114,66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102,53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112,02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105,08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них: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хлеб и </w:t>
            </w:r>
            <w:r>
              <w:rPr>
                <w:rFonts w:ascii="Arial" w:hAnsi="Arial" w:cs="Arial"/>
                <w:sz w:val="18"/>
                <w:szCs w:val="18"/>
              </w:rPr>
              <w:t xml:space="preserve">хлебобулочные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</w:t>
            </w:r>
            <w:r>
              <w:rPr>
                <w:rFonts w:ascii="Arial" w:hAnsi="Arial" w:cs="Arial"/>
                <w:sz w:val="18"/>
                <w:szCs w:val="18"/>
              </w:rPr>
              <w:t xml:space="preserve">з</w:t>
            </w:r>
            <w:r>
              <w:rPr>
                <w:rFonts w:ascii="Arial" w:hAnsi="Arial" w:cs="Arial"/>
                <w:sz w:val="18"/>
                <w:szCs w:val="18"/>
              </w:rPr>
              <w:t xml:space="preserve">делия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100,74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109,92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111,65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100,56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111,94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107,78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крупа и </w:t>
            </w:r>
            <w:r>
              <w:rPr>
                <w:rFonts w:ascii="Arial" w:hAnsi="Arial" w:cs="Arial"/>
                <w:sz w:val="18"/>
                <w:szCs w:val="18"/>
              </w:rPr>
              <w:t xml:space="preserve">бобовые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99,86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101,27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105,32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106,97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100,98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макаронные изделия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100,42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103,30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101,10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99,03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99,92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мясо и птица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100,72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116,74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121,78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101,37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118,01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109,36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их них: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куры охлажденные и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мор</w:t>
            </w:r>
            <w:r>
              <w:rPr>
                <w:rFonts w:ascii="Arial" w:hAnsi="Arial" w:cs="Arial"/>
                <w:sz w:val="18"/>
                <w:szCs w:val="18"/>
              </w:rPr>
              <w:t xml:space="preserve">о</w:t>
            </w:r>
            <w:r>
              <w:rPr>
                <w:rFonts w:ascii="Arial" w:hAnsi="Arial" w:cs="Arial"/>
                <w:sz w:val="18"/>
                <w:szCs w:val="18"/>
              </w:rPr>
              <w:t xml:space="preserve">женые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100,42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120,95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103,61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126,63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рыба и морепродукты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</w:t>
            </w:r>
            <w:r>
              <w:rPr>
                <w:rFonts w:ascii="Arial" w:hAnsi="Arial" w:cs="Arial"/>
                <w:sz w:val="18"/>
                <w:szCs w:val="18"/>
              </w:rPr>
              <w:t xml:space="preserve">и</w:t>
            </w:r>
            <w:r>
              <w:rPr>
                <w:rFonts w:ascii="Arial" w:hAnsi="Arial" w:cs="Arial"/>
                <w:sz w:val="18"/>
                <w:szCs w:val="18"/>
              </w:rPr>
              <w:t xml:space="preserve">щевые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99,65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109,66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112,14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100,62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116,40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110,01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них: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рыба мороженая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неразд</w:t>
            </w:r>
            <w:r>
              <w:rPr>
                <w:rFonts w:ascii="Arial" w:hAnsi="Arial" w:cs="Arial"/>
                <w:sz w:val="18"/>
                <w:szCs w:val="18"/>
              </w:rPr>
              <w:t xml:space="preserve">е</w:t>
            </w:r>
            <w:r>
              <w:rPr>
                <w:rFonts w:ascii="Arial" w:hAnsi="Arial" w:cs="Arial"/>
                <w:sz w:val="18"/>
                <w:szCs w:val="18"/>
              </w:rPr>
              <w:t xml:space="preserve">ланная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102,23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98,21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молоко и молочная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проду</w:t>
            </w:r>
            <w:r>
              <w:rPr>
                <w:rFonts w:ascii="Arial" w:hAnsi="Arial" w:cs="Arial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sz w:val="18"/>
                <w:szCs w:val="18"/>
              </w:rPr>
              <w:t xml:space="preserve">ция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102,39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115,54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111,37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101,50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105,23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103,77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 сливочное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105,07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134,71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121,36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 подсолнечное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102,59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102,84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99,71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99,97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92,63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яйца куриные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109,27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83,94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134,14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118,58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180,11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126,68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сахар-песок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100,18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102,09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108,99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117,53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96,47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плодоовощная продукция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109,25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119,24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115,13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107,49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115,36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101,59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Алкогольные напитки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101,14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1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104,20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103,32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104,89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104,73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</w:tbl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</w:pPr>
      <w:r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  <w:t xml:space="preserve">Стоимость условного (минимального) набора продуктов питания в </w:t>
      </w:r>
      <w:r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  <w:t xml:space="preserve">субъектах</w:t>
      </w:r>
      <w:r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  <w:t xml:space="preserve"> СКФО </w:t>
      </w:r>
      <w:r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</w:r>
    </w:p>
    <w:tbl>
      <w:tblPr>
        <w:tblW w:w="5000" w:type="pct"/>
        <w:jc w:val="center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2568"/>
        <w:gridCol w:w="3001"/>
      </w:tblGrid>
      <w:tr>
        <w:trPr>
          <w:jc w:val="center"/>
          <w:trHeight w:val="613"/>
          <w:tblHeader/>
        </w:trPr>
        <w:tc>
          <w:tcPr>
            <w:shd w:val="clear" w:color="auto" w:fill="ebebeb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W w:w="124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Стоимость набора,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рублях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W w:w="146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Изменение стоимости набора, в процентах к предыдущему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месяцу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160"/>
        </w:trPr>
        <w:tc>
          <w:tcPr>
            <w:gridSpan w:val="3"/>
            <w:shd w:val="clear" w:color="auto" w:fill="auto"/>
            <w:tcW w:w="50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Северо-Кавказский федеральный округ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</w:tr>
      <w:tr>
        <w:trPr>
          <w:jc w:val="center"/>
          <w:trHeight w:val="68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Республика Дагестан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6869,08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177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Республика Ингушетия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6849,39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166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Кабардино-Балкарская Республика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6524,71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65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Карачаево-Черкесская Республика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6861,27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68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Республика Северная Осетия-Алания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6545,66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101,82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Чеченская Республика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6783,94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184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Ставропольский край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7194,67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103,36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</w:tbl>
    <w:p>
      <w:pPr>
        <w:pStyle w:val="726"/>
        <w:spacing w:before="0" w:beforeAutospacing="0" w:after="0" w:afterAutospacing="0" w:line="276" w:lineRule="atLeast"/>
        <w:tabs>
          <w:tab w:val="left" w:pos="9180" w:leader="none"/>
        </w:tabs>
        <w:rPr>
          <w:rStyle w:val="721"/>
          <w:rFonts w:ascii="Arial" w:hAnsi="Arial" w:cs="Arial"/>
          <w:b/>
          <w:bCs/>
          <w:color w:val="363194"/>
          <w:sz w:val="22"/>
          <w:szCs w:val="22"/>
        </w:rPr>
      </w:pP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  <w:tab/>
      </w: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</w:r>
    </w:p>
    <w:p>
      <w:pPr>
        <w:pStyle w:val="726"/>
        <w:spacing w:before="0" w:beforeAutospacing="0" w:after="0" w:afterAutospacing="0" w:line="276" w:lineRule="atLeast"/>
        <w:rPr>
          <w:rStyle w:val="721"/>
          <w:rFonts w:ascii="Arial" w:hAnsi="Arial" w:cs="Arial"/>
          <w:b/>
          <w:bCs/>
          <w:color w:val="363194"/>
          <w:sz w:val="22"/>
          <w:szCs w:val="22"/>
        </w:rPr>
      </w:pP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  <w:t xml:space="preserve">Индексы цен на отдельные группы непродовольственных товаров</w:t>
      </w: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Style w:val="734"/>
          <w:rFonts w:ascii="Arial" w:hAnsi="Arial" w:cs="Arial"/>
          <w:color w:val="282a2e"/>
          <w:sz w:val="20"/>
          <w:szCs w:val="20"/>
        </w:rPr>
      </w:pPr>
      <w:r>
        <w:rPr>
          <w:rStyle w:val="734"/>
          <w:rFonts w:ascii="Arial" w:hAnsi="Arial" w:cs="Arial"/>
          <w:color w:val="282a2e"/>
          <w:sz w:val="20"/>
          <w:szCs w:val="20"/>
        </w:rPr>
        <w:t xml:space="preserve">в процентах</w:t>
      </w:r>
      <w:r>
        <w:rPr>
          <w:rStyle w:val="734"/>
          <w:rFonts w:ascii="Arial" w:hAnsi="Arial" w:cs="Arial"/>
          <w:color w:val="282a2e"/>
          <w:sz w:val="20"/>
          <w:szCs w:val="20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Fonts w:ascii="Times New Roman CYR" w:hAnsi="Times New Roman CYR" w:cs="Times New Roman CYR"/>
          <w:sz w:val="4"/>
          <w:szCs w:val="4"/>
        </w:rPr>
      </w:pPr>
      <w:r>
        <w:rPr>
          <w:rFonts w:ascii="Times New Roman CYR" w:hAnsi="Times New Roman CYR" w:cs="Times New Roman CYR"/>
          <w:sz w:val="4"/>
          <w:szCs w:val="4"/>
        </w:rPr>
      </w:r>
      <w:r>
        <w:rPr>
          <w:rFonts w:ascii="Times New Roman CYR" w:hAnsi="Times New Roman CYR" w:cs="Times New Roman CYR"/>
          <w:sz w:val="4"/>
          <w:szCs w:val="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277"/>
        <w:gridCol w:w="1277"/>
        <w:gridCol w:w="1277"/>
        <w:gridCol w:w="1205"/>
        <w:gridCol w:w="1207"/>
        <w:gridCol w:w="1379"/>
      </w:tblGrid>
      <w:tr>
        <w:trPr>
          <w:trHeight w:val="70"/>
          <w:tblHeader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Непродовольственные 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вары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2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1242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 xml:space="preserve">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 xml:space="preserve"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44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Справочно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trHeight w:val="207"/>
          <w:tblHeader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4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gridSpan w:val="2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sz w:val="18"/>
                <w:szCs w:val="18"/>
              </w:rPr>
              <w:t xml:space="preserve">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</w:t>
            </w:r>
            <w:r>
              <w:rPr>
                <w:rFonts w:ascii="Arial" w:hAnsi="Arial" w:cs="Arial"/>
                <w:sz w:val="18"/>
                <w:szCs w:val="18"/>
              </w:rPr>
              <w:t xml:space="preserve">е</w:t>
            </w:r>
            <w:r>
              <w:rPr>
                <w:rFonts w:ascii="Arial" w:hAnsi="Arial" w:cs="Arial"/>
                <w:sz w:val="18"/>
                <w:szCs w:val="18"/>
              </w:rPr>
              <w:t xml:space="preserve">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 xml:space="preserve">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брю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</w:tr>
      <w:tr>
        <w:trPr>
          <w:tblHeader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ноябрю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2024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103,48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102,24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98,92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100,96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Одежда и белье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100,19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104,19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100,16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104,69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Трикотажные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изделия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100,18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102,51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104,03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100,10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103,83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106,08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Обувь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100,08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103,27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103,61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102,65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103,28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Моющие и чистящие сре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ства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100,44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104,12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102,61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109,38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Табачные изделия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100,70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102,05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104,59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109,52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110,86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Мебель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100,02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103,04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103,03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100,84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103,88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Электротовары и другие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бытовые приборы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100,66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101,83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101,34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99,56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100,99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100,92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Телерадиотовары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101,72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93,19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96,81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101,60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92,02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86,97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Строительные материалы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100,31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102,68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105,32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99,74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104,19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95,38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Бензин автомобильный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101,26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109,76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95,99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112,09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107,43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Медикаменты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  <w:t xml:space="preserve">100,47</w:t>
            </w:r>
            <w:r>
              <w:rPr>
                <w:rFonts w:ascii="Arial" w:hAnsi="Arial" w:cs="Arial"/>
                <w:bCs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109,88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108,81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100,59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106,21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7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107,64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</w:tbl>
    <w:p>
      <w:pPr>
        <w:pStyle w:val="727"/>
        <w:ind w:firstLine="720"/>
        <w:jc w:val="center"/>
        <w:spacing w:before="0" w:beforeAutospacing="0" w:after="0" w:afterAutospacing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30"/>
        <w:spacing w:before="0" w:beforeAutospacing="0" w:after="0" w:afterAutospacing="0" w:line="230" w:lineRule="atLeast"/>
        <w:rPr>
          <w:rStyle w:val="719"/>
          <w:rFonts w:ascii="Arial" w:hAnsi="Arial" w:cs="Arial"/>
          <w:b/>
          <w:bCs/>
          <w:color w:val="363194"/>
        </w:rPr>
      </w:pPr>
      <w:r>
        <w:rPr>
          <w:rStyle w:val="719"/>
          <w:rFonts w:ascii="Arial" w:hAnsi="Arial" w:cs="Arial"/>
          <w:b/>
          <w:bCs/>
          <w:color w:val="363194"/>
        </w:rPr>
        <w:t xml:space="preserve">Индексы цен и тарифов на отдельные группы и виды услуг</w:t>
      </w:r>
      <w:r>
        <w:rPr>
          <w:rStyle w:val="719"/>
          <w:rFonts w:ascii="Arial" w:hAnsi="Arial" w:cs="Arial"/>
          <w:b/>
          <w:bCs/>
          <w:color w:val="363194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Fonts w:ascii="Times New Roman CYR" w:hAnsi="Times New Roman CYR" w:cs="Times New Roman CYR"/>
        </w:rPr>
      </w:pPr>
      <w:r>
        <w:rPr>
          <w:rStyle w:val="734"/>
          <w:rFonts w:ascii="Arial" w:hAnsi="Arial" w:cs="Arial"/>
          <w:color w:val="282a2e"/>
          <w:sz w:val="20"/>
          <w:szCs w:val="20"/>
        </w:rPr>
        <w:t xml:space="preserve">в процентах</w:t>
      </w:r>
      <w:r>
        <w:rPr>
          <w:rFonts w:ascii="Times New Roman CYR" w:hAnsi="Times New Roman CYR" w:cs="Times New Roman CYR"/>
        </w:rPr>
      </w:r>
    </w:p>
    <w:p>
      <w:pPr>
        <w:pStyle w:val="730"/>
        <w:spacing w:before="0" w:beforeAutospacing="0" w:after="0" w:afterAutospacing="0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494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3"/>
        <w:gridCol w:w="1276"/>
        <w:gridCol w:w="1139"/>
        <w:gridCol w:w="1274"/>
        <w:gridCol w:w="1274"/>
        <w:gridCol w:w="1276"/>
      </w:tblGrid>
      <w:tr>
        <w:trPr>
          <w:tblHeader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Услуги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2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1253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2024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80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Справочно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trHeight w:val="207"/>
          <w:tblHeader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5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gridSpan w:val="2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Merge w:val="restart"/>
            <w:textDirection w:val="lrTb"/>
            <w:noWrap w:val="false"/>
          </w:tcPr>
          <w:p>
            <w:pPr>
              <w:ind w:left="-113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57"/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 г.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</w:tr>
      <w:tr>
        <w:trPr>
          <w:trHeight w:val="363"/>
          <w:tblHeader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ноя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2024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 г.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кабрю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 г.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Жилищные и коммунальные услуги (включая аренду квартир)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100,01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109,16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104,67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102,61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110,71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Услуги организаций ЖКХ, оказываемые населению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109,16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104,59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102,36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110,49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жилищные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услуги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без аре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ды квартир у частных лиц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115,39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115,39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оплата жилья в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домах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го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ударственного и муниц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пального жилищных фо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дах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</w:tr>
      <w:tr>
        <w:trPr>
          <w:trHeight w:val="538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содержание и ремонт ж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лья для граждан-собственников жилья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</w:tr>
      <w:tr>
        <w:trPr>
          <w:trHeight w:val="538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услуги по организации и выполнению работ по эк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плуатации домов ЖК, ЖСК, ТСЖ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</w:tr>
      <w:tr>
        <w:trPr>
          <w:trHeight w:val="138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взносы на капитальный ремонт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123,08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123,08</w:t>
            </w:r>
            <w:r>
              <w:rPr>
                <w:color w:val="282a2e"/>
              </w:rPr>
            </w:r>
          </w:p>
        </w:tc>
      </w:tr>
      <w:tr>
        <w:trPr>
          <w:trHeight w:val="176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коммунальные услуги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111,06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105,54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109,72</w:t>
            </w:r>
            <w:r>
              <w:rPr>
                <w:bCs/>
                <w:color w:val="282a2e"/>
              </w:rPr>
            </w:r>
          </w:p>
        </w:tc>
      </w:tr>
      <w:tr>
        <w:trPr>
          <w:trHeight w:val="176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340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обращение с твердыми коммунальными отходами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100,82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100,68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</w:r>
            <w:r>
              <w:rPr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363194"/>
              </w:rPr>
            </w:pPr>
            <w:r>
              <w:rPr>
                <w:color w:val="363194"/>
              </w:rPr>
              <w:t xml:space="preserve">100,00</w:t>
            </w:r>
            <w:r>
              <w:rPr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126,08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113,04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105,42</w:t>
            </w:r>
            <w:r>
              <w:rPr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363194"/>
              </w:rPr>
            </w:pPr>
            <w:r>
              <w:rPr>
                <w:color w:val="363194"/>
              </w:rPr>
              <w:t xml:space="preserve">100,00</w:t>
            </w:r>
            <w:r>
              <w:rPr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132,26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116,13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105,77</w:t>
            </w:r>
            <w:r>
              <w:rPr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120,93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110,47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109,98</w:t>
            </w:r>
            <w:r>
              <w:rPr>
                <w:bCs/>
                <w:color w:val="282a2e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363194"/>
              </w:rPr>
            </w:pPr>
            <w:r>
              <w:rPr>
                <w:color w:val="363194"/>
              </w:rPr>
              <w:t xml:space="preserve">100,00</w:t>
            </w:r>
            <w:r>
              <w:rPr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118,09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109,05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100,00</w:t>
            </w:r>
            <w:r>
              <w:rPr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282a2e"/>
              </w:rPr>
            </w:pPr>
            <w:r>
              <w:rPr>
                <w:color w:val="282a2e"/>
              </w:rPr>
              <w:t xml:space="preserve">112,69</w:t>
            </w:r>
            <w:r>
              <w:rPr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газоснабжение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108,08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104,04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111,04</w:t>
            </w:r>
            <w:r>
              <w:rPr>
                <w:bCs/>
                <w:color w:val="282a2e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электроснабжение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108,71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104,36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108,99</w:t>
            </w:r>
            <w:r>
              <w:rPr>
                <w:bCs/>
                <w:color w:val="282a2e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Гостиниц и прочих мест проживания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98,90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103,26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105,04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99,73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113,12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120,70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Медицинские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100,03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108,64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109,23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100,30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105,12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105,41</w:t>
            </w:r>
            <w:r>
              <w:rPr>
                <w:bCs/>
                <w:color w:val="282a2e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Пассажирского транспорта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100,18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113,61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108,99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100,70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107,04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111,37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284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городской пассажирский транспорт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115,07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110,01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103,52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102,02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Почтовой связи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110,93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110,41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103,21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113,25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111,75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Телекоммуникационные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106,17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105,52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103,16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103,57</w:t>
            </w:r>
            <w:r>
              <w:rPr>
                <w:bCs/>
                <w:color w:val="282a2e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Организаций культуры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100,45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102,74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103,48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103,99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Санаторно-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здоровительные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108,50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118,38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103,91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113,25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Дошкольного воспитания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109,14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121,31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121,43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109,28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Образования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106,23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106,70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104,81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105,75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Бытовые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100,11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105,05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109,05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100,02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112,12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111,36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Зарубежного туризма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84,97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96,70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105,00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74,70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123,26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145,72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Физкультуры и спорта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111,96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107,73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108,44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106,41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анков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131,10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136,55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125,62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96,70</w:t>
            </w:r>
            <w:r>
              <w:rPr>
                <w:bCs/>
                <w:color w:val="282a2e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Страхования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363194"/>
              </w:rPr>
            </w:pPr>
            <w:r>
              <w:rPr>
                <w:bCs/>
                <w:color w:val="363194"/>
              </w:rPr>
              <w:t xml:space="preserve">100,00</w:t>
            </w:r>
            <w:r>
              <w:rPr>
                <w:bCs/>
                <w:color w:val="363194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100,41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100,07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100,00</w:t>
            </w:r>
            <w:r>
              <w:rPr>
                <w:bCs/>
                <w:color w:val="282a2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62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 xml:space="preserve">118,71</w:t>
            </w:r>
            <w:r>
              <w:rPr>
                <w:bCs/>
                <w:color w:val="282a2e"/>
              </w:rPr>
            </w:r>
          </w:p>
        </w:tc>
      </w:tr>
    </w:tbl>
    <w:p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731"/>
        <w:jc w:val="both"/>
        <w:spacing w:before="0" w:beforeAutospacing="0" w:after="160" w:afterAutospacing="0" w:line="259" w:lineRule="auto"/>
        <w:rPr>
          <w:rFonts w:ascii="Arial" w:hAnsi="Arial" w:cs="Arial" w:eastAsiaTheme="minorHAnsi"/>
          <w:sz w:val="22"/>
          <w:szCs w:val="22"/>
          <w:lang w:eastAsia="en-US"/>
        </w:rPr>
      </w:pPr>
      <w:r>
        <w:rPr>
          <w:rFonts w:ascii="Arial" w:hAnsi="Arial" w:cs="Arial" w:eastAsiaTheme="minorHAnsi"/>
          <w:sz w:val="22"/>
          <w:szCs w:val="22"/>
          <w:lang w:eastAsia="en-US"/>
        </w:rPr>
        <w:t xml:space="preserve">_________________________</w:t>
      </w:r>
      <w:r>
        <w:rPr>
          <w:rFonts w:ascii="Arial" w:hAnsi="Arial" w:cs="Arial" w:eastAsiaTheme="minorHAnsi"/>
          <w:sz w:val="22"/>
          <w:szCs w:val="22"/>
          <w:lang w:eastAsia="en-US"/>
        </w:rPr>
      </w:r>
    </w:p>
    <w:p>
      <w:pPr>
        <w:pStyle w:val="739"/>
        <w:jc w:val="both"/>
        <w:spacing w:before="0" w:beforeAutospacing="0" w:after="0" w:afterAutospacing="0" w:line="312" w:lineRule="auto"/>
        <w:shd w:val="clear" w:color="auto" w:fill="ffffff"/>
        <w:rPr>
          <w:rFonts w:ascii="Arial Unicode MS" w:hAnsi="Arial Unicode MS" w:eastAsia="Arial Unicode MS" w:cs="Arial Unicode MS"/>
        </w:rPr>
      </w:pPr>
      <w:r>
        <w:rPr>
          <w:rStyle w:val="736"/>
          <w:rFonts w:ascii="Arial" w:hAnsi="Arial" w:eastAsia="Arial Unicode MS" w:cs="Arial"/>
          <w:color w:val="838383"/>
          <w:sz w:val="16"/>
          <w:szCs w:val="16"/>
          <w:vertAlign w:val="superscript"/>
        </w:rPr>
        <w:t xml:space="preserve">1 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Ежегодно с января индексы потребительских цен (ИПЦ) рассчитываются на основе актуализированной выборки обследу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е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мых городов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,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 организаций торговли и сферы услуг, видов товаров и услуг, а также на основе обновленных весов - объемов потре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б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ления товаров и услуг по Республике Дагестан и новой структуры потребительских расходов населения по Республике Дагестан для формирования групповых позиций. </w:t>
      </w:r>
      <w:r>
        <w:rPr>
          <w:rFonts w:ascii="Arial Unicode MS" w:hAnsi="Arial Unicode MS" w:eastAsia="Arial Unicode MS" w:cs="Arial Unicode MS"/>
        </w:rPr>
      </w:r>
    </w:p>
    <w:p>
      <w:pPr>
        <w:pStyle w:val="739"/>
        <w:jc w:val="both"/>
        <w:spacing w:before="0" w:beforeAutospacing="0" w:after="0" w:afterAutospacing="0" w:line="312" w:lineRule="auto"/>
        <w:shd w:val="clear" w:color="auto" w:fill="ffffff"/>
        <w:rPr>
          <w:rFonts w:ascii="Arial Unicode MS" w:hAnsi="Arial Unicode MS" w:eastAsia="Arial Unicode MS" w:cs="Arial Unicode MS"/>
        </w:rPr>
      </w:pPr>
      <w:r>
        <w:rPr>
          <w:rStyle w:val="738"/>
          <w:rFonts w:ascii="Arial" w:hAnsi="Arial" w:eastAsia="Arial Unicode MS" w:cs="Arial"/>
          <w:color w:val="838383"/>
          <w:sz w:val="16"/>
          <w:szCs w:val="16"/>
        </w:rPr>
        <w:t xml:space="preserve"> Формирование ИПЦ за январь по сравнению с предыдущим месяцем на отдельные товары и услуги осуществляется из сопостав</w:t>
      </w:r>
      <w:r>
        <w:rPr>
          <w:rStyle w:val="738"/>
          <w:rFonts w:ascii="Arial" w:hAnsi="Arial" w:eastAsia="Arial Unicode MS" w:cs="Arial"/>
          <w:color w:val="838383"/>
          <w:sz w:val="16"/>
          <w:szCs w:val="16"/>
        </w:rPr>
        <w:t xml:space="preserve">и</w:t>
      </w:r>
      <w:r>
        <w:rPr>
          <w:rStyle w:val="738"/>
          <w:rFonts w:ascii="Arial" w:hAnsi="Arial" w:eastAsia="Arial Unicode MS" w:cs="Arial"/>
          <w:color w:val="838383"/>
          <w:sz w:val="16"/>
          <w:szCs w:val="16"/>
        </w:rPr>
        <w:t xml:space="preserve">мых цен за январь текущего года и декабрь предыдущего года, а также с учетом новых долей объемов потребления товаров (услуг)-представителей в Республике Дагестан, рассчитанных для 2024 года.</w:t>
      </w:r>
      <w:r>
        <w:rPr>
          <w:rFonts w:ascii="Arial Unicode MS" w:hAnsi="Arial Unicode MS" w:eastAsia="Arial Unicode MS" w:cs="Arial Unicode MS"/>
        </w:rPr>
      </w:r>
    </w:p>
    <w:p>
      <w:pPr>
        <w:pStyle w:val="731"/>
        <w:ind w:firstLine="567"/>
        <w:jc w:val="both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276" w:header="709" w:footer="125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Arial Rounded MT Bold">
    <w:panose1 w:val="020B0704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71758437"/>
      <w:docPartObj>
        <w:docPartGallery w:val="Page Numbers (Bottom of Page)"/>
        <w:docPartUnique w:val="true"/>
      </w:docPartObj>
      <w:rPr/>
    </w:sdtPr>
    <w:sdtContent>
      <w:p>
        <w:pPr>
          <w:pStyle w:val="709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/>
            <w:sz w:val="24"/>
            <w:szCs w:val="24"/>
          </w:rPr>
          <w:instrText xml:space="preserve">PAGE   \* MERGEFORMAT</w:instrText>
        </w:r>
        <w:r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>
          <w:rPr>
            <w:rFonts w:ascii="Arial" w:hAnsi="Arial" w:cs="Arial"/>
            <w:color w:val="282a2e"/>
            <w:sz w:val="24"/>
            <w:szCs w:val="24"/>
          </w:rPr>
          <w:t xml:space="preserve">4</w:t>
        </w:r>
        <w:r>
          <w:rPr>
            <w:rFonts w:ascii="Arial" w:hAnsi="Arial" w:cs="Arial"/>
            <w:color w:val="282a2e"/>
            <w:sz w:val="24"/>
            <w:szCs w:val="24"/>
          </w:rPr>
          <w:fldChar w:fldCharType="end"/>
        </w:r>
        <w:r>
          <w:rPr>
            <w:rFonts w:ascii="Arial" w:hAnsi="Arial" w:cs="Arial"/>
            <w:color w:val="282a2e" w:themeColor="text1"/>
            <w:sz w:val="24"/>
            <w:szCs w:val="24"/>
          </w:rPr>
        </w:r>
      </w:p>
    </w:sdtContent>
  </w:sdt>
  <w:p>
    <w:pPr>
      <w:pStyle w:val="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ind w:left="708"/>
      <w:rPr>
        <w:rFonts w:ascii="Arial" w:hAnsi="Arial" w:cs="Arial"/>
        <w:color w:val="363194" w:themeColor="accent1"/>
        <w:sz w:val="36"/>
        <w:szCs w:val="36"/>
      </w:rPr>
    </w:pPr>
    <w:r>
      <w:rPr>
        <w:rFonts w:ascii="Arial" w:hAnsi="Arial" w:cs="Arial"/>
        <w:color w:val="363194" w:themeColor="accent1"/>
        <w:sz w:val="36"/>
        <w:szCs w:val="36"/>
      </w:rPr>
    </w:r>
    <w:r>
      <w:rPr>
        <w:rFonts w:ascii="Arial" w:hAnsi="Arial" w:cs="Arial"/>
        <w:color w:val="363194" w:themeColor="accent1"/>
        <w:sz w:val="36"/>
        <w:szCs w:val="3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ind w:left="1247" w:right="1984"/>
      <w:spacing w:after="240"/>
      <w:rPr>
        <w:rFonts w:ascii="Arial" w:hAnsi="Arial" w:cs="Arial"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color w:val="363194" w:themeColor="accent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07"/>
    <w:uiPriority w:val="99"/>
  </w:style>
  <w:style w:type="character" w:styleId="45">
    <w:name w:val="Footer Char"/>
    <w:basedOn w:val="704"/>
    <w:link w:val="709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9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3c37a6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3471c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c6c8cd" w:themeFill="text1" w:themeFillTint="40"/>
    </w:tblPr>
    <w:tblStylePr w:type="band1Horz">
      <w:tcPr>
        <w:shd w:val="clear" w:color="ffffff" w:themeColor="text1" w:themeTint="75" w:fill="979ca4" w:themeFill="text1" w:themeFillTint="75"/>
      </w:tcPr>
    </w:tblStylePr>
    <w:tblStylePr w:type="band1Vert">
      <w:tcPr>
        <w:shd w:val="clear" w:color="ffffff" w:themeColor="text1" w:themeTint="75" w:fill="979ca4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0ceef" w:themeFill="accent1" w:themeFillTint="34"/>
    </w:tblPr>
    <w:tblStylePr w:type="band1Horz">
      <w:tcPr>
        <w:shd w:val="clear" w:color="ffffff" w:themeColor="accent1" w:themeTint="75" w:fill="9692db" w:themeFill="accent1" w:themeFillTint="75"/>
      </w:tcPr>
    </w:tblStylePr>
    <w:tblStylePr w:type="band1Vert">
      <w:tcPr>
        <w:shd w:val="clear" w:color="ffffff" w:themeColor="accent1" w:themeTint="75" w:fill="9692d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9e1da" w:themeFill="accent2" w:themeFillTint="32"/>
    </w:tblPr>
    <w:tblStylePr w:type="band1Horz">
      <w:tcPr>
        <w:shd w:val="clear" w:color="ffffff" w:themeColor="accent2" w:themeTint="75" w:fill="f1b9aa" w:themeFill="accent2" w:themeFillTint="75"/>
      </w:tcPr>
    </w:tblStylePr>
    <w:tblStylePr w:type="band1Vert">
      <w:tcPr>
        <w:shd w:val="clear" w:color="ffffff" w:themeColor="accent2" w:themeTint="75" w:fill="f1b9aa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4e1f3" w:themeFill="accent3" w:themeFillTint="34"/>
    </w:tblPr>
    <w:tblStylePr w:type="band1Horz">
      <w:tcPr>
        <w:shd w:val="clear" w:color="ffffff" w:themeColor="accent3" w:themeTint="75" w:fill="9ebce5" w:themeFill="accent3" w:themeFillTint="75"/>
      </w:tcPr>
    </w:tblStylePr>
    <w:tblStylePr w:type="band1Vert">
      <w:tcPr>
        <w:shd w:val="clear" w:color="ffffff" w:themeColor="accent3" w:themeTint="75" w:fill="9ebce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7eee3" w:themeFill="accent4" w:themeFillTint="34"/>
    </w:tblPr>
    <w:tblStylePr w:type="band1Horz">
      <w:tcPr>
        <w:shd w:val="clear" w:color="ffffff" w:themeColor="accent4" w:themeTint="75" w:fill="a7dac1" w:themeFill="accent4" w:themeFillTint="75"/>
      </w:tcPr>
    </w:tblStylePr>
    <w:tblStylePr w:type="band1Vert">
      <w:tcPr>
        <w:shd w:val="clear" w:color="ffffff" w:themeColor="accent4" w:themeTint="75" w:fill="a7dac1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fece1" w:themeFill="accent6" w:themeFillTint="34"/>
    </w:tblPr>
    <w:tblStylePr w:type="band1Horz">
      <w:tcPr>
        <w:shd w:val="clear" w:color="ffffff" w:themeColor="accent6" w:themeTint="75" w:fill="ffd5bd" w:themeFill="accent6" w:themeFillTint="75"/>
      </w:tcPr>
    </w:tblStylePr>
    <w:tblStylePr w:type="band1Vert">
      <w:tcPr>
        <w:shd w:val="clear" w:color="ffffff" w:themeColor="accent6" w:themeTint="75" w:fill="ffd5b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tcPr>
        <w:shd w:val="clear" w:color="ffffff" w:themeColor="text1" w:themeTint="34" w:fill="d1d3d6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50545b" w:themeColor="text1" w:themeTint="80" w:themeShade="95"/>
      </w:rPr>
    </w:tblStylePr>
    <w:tblStylePr w:type="firstRow">
      <w:rPr>
        <w:b/>
        <w:color w:val="50545b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50545b" w:themeColor="text1" w:themeTint="80" w:themeShade="95"/>
      </w:rPr>
    </w:tblStylePr>
    <w:tblStylePr w:type="lastRow">
      <w:rPr>
        <w:b/>
        <w:color w:val="50545b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83398" w:themeColor="accent1" w:themeTint="80" w:themeShade="95"/>
      </w:rPr>
    </w:tblStylePr>
    <w:tblStylePr w:type="firstRow">
      <w:rPr>
        <w:b/>
        <w:color w:val="383398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83398" w:themeColor="accent1" w:themeTint="80" w:themeShade="95"/>
      </w:rPr>
    </w:tblStylePr>
    <w:tblStylePr w:type="lastRow">
      <w:rPr>
        <w:b/>
        <w:color w:val="383398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1e4371" w:themeColor="accent3" w:themeTint="FE" w:themeShade="95"/>
      </w:rPr>
    </w:tblStylePr>
    <w:tblStylePr w:type="firstRow">
      <w:rPr>
        <w:b/>
        <w:color w:val="1e437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e4371" w:themeColor="accent3" w:themeTint="FE" w:themeShade="95"/>
      </w:rPr>
    </w:tblStylePr>
    <w:tblStylePr w:type="lastRow">
      <w:rPr>
        <w:b/>
        <w:color w:val="1e437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83398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383398" w:themeColor="accent1" w:themeTint="80" w:themeShade="95"/>
        <w:sz w:val="22"/>
      </w:rPr>
    </w:tblStylePr>
    <w:tblStylePr w:type="firstCol">
      <w:rPr>
        <w:rFonts w:ascii="Arial" w:hAnsi="Arial"/>
        <w:i/>
        <w:color w:val="383398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83398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1e4371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1e4371" w:themeColor="accent3" w:themeTint="FE" w:themeShade="95"/>
        <w:sz w:val="22"/>
      </w:rPr>
    </w:tblStylePr>
    <w:tblStylePr w:type="firstCol">
      <w:rPr>
        <w:rFonts w:ascii="Arial" w:hAnsi="Arial"/>
        <w:i/>
        <w:color w:val="1e437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1e437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d65000" w:themeColor="accent6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d65000" w:themeColor="accent6" w:themeShade="95"/>
        <w:sz w:val="22"/>
      </w:rPr>
    </w:tblStylePr>
    <w:tblStylePr w:type="firstCol">
      <w:rPr>
        <w:rFonts w:ascii="Arial" w:hAnsi="Arial"/>
        <w:i/>
        <w:color w:val="d65000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d65000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82a9dd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fc9a9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8d929c" w:themeFill="text1" w:themeFillTint="80"/>
    </w:tblPr>
    <w:tblStylePr w:type="band1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8d929c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8d929c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363194" w:themeFill="accent1"/>
    </w:tblPr>
    <w:tblStylePr w:type="band1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36319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36319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eea591" w:themeFill="accent2" w:themeFillTint="97"/>
    </w:tblPr>
    <w:tblStylePr w:type="band1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eea59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82a9dd" w:themeFill="accent3" w:themeFillTint="98"/>
    </w:tblPr>
    <w:tblStylePr w:type="band1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82a9dd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82a9dd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8bceae" w:themeFill="accent4" w:themeFillTint="9A"/>
    </w:tblPr>
    <w:tblStylePr w:type="band1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8bceae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fc9a9" w:themeFill="accent6" w:themeFillTint="98"/>
    </w:tblPr>
    <w:tblStylePr w:type="band1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fc9a9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fc9a9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282a2e" w:themeColor="text1"/>
      </w:rPr>
    </w:tblStylePr>
    <w:tblStylePr w:type="firstRow">
      <w:rPr>
        <w:b/>
        <w:color w:val="282a2e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282a2e" w:themeColor="text1"/>
      </w:rPr>
    </w:tblStylePr>
    <w:tblStylePr w:type="lastRow">
      <w:rPr>
        <w:b/>
        <w:color w:val="282a2e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1f1c55" w:themeColor="accent1" w:themeShade="95"/>
      </w:rPr>
    </w:tblStylePr>
    <w:tblStylePr w:type="firstRow">
      <w:rPr>
        <w:b/>
        <w:color w:val="1f1c55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1f1c55" w:themeColor="accent1" w:themeShade="95"/>
      </w:rPr>
    </w:tblStylePr>
    <w:tblStylePr w:type="lastRow">
      <w:rPr>
        <w:b/>
        <w:color w:val="1f1c55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2c5fa0" w:themeColor="accent3" w:themeTint="98" w:themeShade="95"/>
      </w:rPr>
    </w:tblStylePr>
    <w:tblStylePr w:type="firstRow">
      <w:rPr>
        <w:b/>
        <w:color w:val="2c5fa0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c5fa0" w:themeColor="accent3" w:themeTint="98" w:themeShade="95"/>
      </w:rPr>
    </w:tblStylePr>
    <w:tblStylePr w:type="lastRow">
      <w:rPr>
        <w:b/>
        <w:color w:val="2c5fa0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f85700" w:themeColor="accent6" w:themeTint="98" w:themeShade="95"/>
      </w:rPr>
    </w:tblStylePr>
    <w:tblStylePr w:type="firstRow">
      <w:rPr>
        <w:b/>
        <w:color w:val="f85700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f85700" w:themeColor="accent6" w:themeTint="98" w:themeShade="95"/>
      </w:rPr>
    </w:tblStylePr>
    <w:tblStylePr w:type="lastRow">
      <w:rPr>
        <w:b/>
        <w:color w:val="f85700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0545b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1f1c55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1f1c55" w:themeColor="accent1" w:themeShade="95"/>
        <w:sz w:val="22"/>
      </w:rPr>
    </w:tblStylePr>
    <w:tblStylePr w:type="firstCol">
      <w:rPr>
        <w:rFonts w:ascii="Arial" w:hAnsi="Arial"/>
        <w:i/>
        <w:color w:val="1f1c55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1f1c55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1c55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1401e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2c5fa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2c5fa0" w:themeColor="accent3" w:themeTint="98" w:themeShade="95"/>
        <w:sz w:val="22"/>
      </w:rPr>
    </w:tblStylePr>
    <w:tblStylePr w:type="firstCol">
      <w:rPr>
        <w:rFonts w:ascii="Arial" w:hAnsi="Arial"/>
        <w:i/>
        <w:color w:val="2c5fa0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c5fa0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c5fa0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c8d66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f8570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f85700" w:themeColor="accent6" w:themeTint="98" w:themeShade="95"/>
        <w:sz w:val="22"/>
      </w:rPr>
    </w:tblStylePr>
    <w:tblStylePr w:type="firstCol">
      <w:rPr>
        <w:rFonts w:ascii="Arial" w:hAnsi="Arial"/>
        <w:i/>
        <w:color w:val="f85700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f85700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f85700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Header"/>
    <w:basedOn w:val="703"/>
    <w:link w:val="7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8" w:customStyle="1">
    <w:name w:val="Верхний колонтитул Знак"/>
    <w:basedOn w:val="704"/>
    <w:link w:val="707"/>
    <w:uiPriority w:val="99"/>
  </w:style>
  <w:style w:type="paragraph" w:styleId="709">
    <w:name w:val="Footer"/>
    <w:basedOn w:val="703"/>
    <w:link w:val="7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0" w:customStyle="1">
    <w:name w:val="Нижний колонтитул Знак"/>
    <w:basedOn w:val="704"/>
    <w:link w:val="709"/>
    <w:uiPriority w:val="99"/>
  </w:style>
  <w:style w:type="paragraph" w:styleId="711">
    <w:name w:val="List Paragraph"/>
    <w:basedOn w:val="703"/>
    <w:uiPriority w:val="34"/>
    <w:qFormat/>
    <w:pPr>
      <w:contextualSpacing/>
      <w:ind w:left="720"/>
    </w:pPr>
  </w:style>
  <w:style w:type="table" w:styleId="712" w:customStyle="1">
    <w:name w:val="Сетка таблицы светлая1"/>
    <w:basedOn w:val="705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713">
    <w:name w:val="Hyperlink"/>
    <w:basedOn w:val="704"/>
    <w:uiPriority w:val="99"/>
    <w:unhideWhenUsed/>
    <w:rPr>
      <w:color w:val="5b9bd5" w:themeColor="hyperlink"/>
      <w:u w:val="single"/>
    </w:rPr>
  </w:style>
  <w:style w:type="character" w:styleId="714" w:customStyle="1">
    <w:name w:val="Неразрешенное упоминание1"/>
    <w:basedOn w:val="704"/>
    <w:uiPriority w:val="99"/>
    <w:semiHidden/>
    <w:unhideWhenUsed/>
    <w:rPr>
      <w:color w:val="605e5c"/>
      <w:shd w:val="clear" w:color="auto" w:fill="e1dfdd"/>
    </w:rPr>
  </w:style>
  <w:style w:type="table" w:styleId="715">
    <w:name w:val="Table Grid"/>
    <w:basedOn w:val="70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6" w:customStyle="1">
    <w:name w:val="t20"/>
  </w:style>
  <w:style w:type="character" w:styleId="717" w:customStyle="1">
    <w:name w:val="t21"/>
  </w:style>
  <w:style w:type="paragraph" w:styleId="718" w:customStyle="1">
    <w:name w:val="p70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9" w:customStyle="1">
    <w:name w:val="t23"/>
  </w:style>
  <w:style w:type="paragraph" w:styleId="720" w:customStyle="1">
    <w:name w:val="p50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1" w:customStyle="1">
    <w:name w:val="t29"/>
    <w:basedOn w:val="704"/>
  </w:style>
  <w:style w:type="paragraph" w:styleId="722" w:customStyle="1">
    <w:name w:val="p51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3" w:customStyle="1">
    <w:name w:val="t32"/>
    <w:basedOn w:val="704"/>
  </w:style>
  <w:style w:type="paragraph" w:styleId="724">
    <w:name w:val="Balloon Text"/>
    <w:basedOn w:val="703"/>
    <w:link w:val="72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5" w:customStyle="1">
    <w:name w:val="Текст выноски Знак"/>
    <w:basedOn w:val="704"/>
    <w:link w:val="724"/>
    <w:rPr>
      <w:rFonts w:ascii="Tahoma" w:hAnsi="Tahoma" w:cs="Tahoma"/>
      <w:sz w:val="16"/>
      <w:szCs w:val="16"/>
    </w:rPr>
  </w:style>
  <w:style w:type="paragraph" w:styleId="726" w:customStyle="1">
    <w:name w:val="p61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7">
    <w:name w:val="Normal (Web)"/>
    <w:basedOn w:val="70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8">
    <w:name w:val="Body Text Indent 2"/>
    <w:basedOn w:val="703"/>
    <w:link w:val="729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9" w:customStyle="1">
    <w:name w:val="Основной текст с отступом 2 Знак"/>
    <w:basedOn w:val="704"/>
    <w:link w:val="7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0" w:customStyle="1">
    <w:name w:val="p71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1" w:customStyle="1">
    <w:name w:val="p58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2" w:customStyle="1">
    <w:name w:val="t17"/>
  </w:style>
  <w:style w:type="paragraph" w:styleId="733" w:customStyle="1">
    <w:name w:val="p29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4" w:customStyle="1">
    <w:name w:val="t8"/>
    <w:basedOn w:val="704"/>
  </w:style>
  <w:style w:type="paragraph" w:styleId="735" w:customStyle="1">
    <w:name w:val="p42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6" w:customStyle="1">
    <w:name w:val="t38"/>
    <w:basedOn w:val="704"/>
  </w:style>
  <w:style w:type="character" w:styleId="737" w:customStyle="1">
    <w:name w:val="t39"/>
    <w:basedOn w:val="704"/>
  </w:style>
  <w:style w:type="character" w:styleId="738" w:customStyle="1">
    <w:name w:val="t40"/>
    <w:basedOn w:val="704"/>
  </w:style>
  <w:style w:type="paragraph" w:styleId="739" w:customStyle="1">
    <w:name w:val="p3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0" w:customStyle="1">
    <w:name w:val="t42"/>
  </w:style>
  <w:style w:type="paragraph" w:styleId="741" w:customStyle="1">
    <w:name w:val="p57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2" w:customStyle="1">
    <w:name w:val="t16"/>
    <w:basedOn w:val="704"/>
  </w:style>
  <w:style w:type="paragraph" w:styleId="743" w:customStyle="1">
    <w:name w:val="p49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84F1-7465-4243-A0E7-B4437828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Мустафаева Л.К., Ведущий специалист-эксперт</cp:lastModifiedBy>
  <cp:revision>30</cp:revision>
  <dcterms:created xsi:type="dcterms:W3CDTF">2024-09-13T09:25:00Z</dcterms:created>
  <dcterms:modified xsi:type="dcterms:W3CDTF">2025-01-17T08:37:14Z</dcterms:modified>
</cp:coreProperties>
</file>